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E3" w:rsidRPr="003B7CE3" w:rsidRDefault="003B7CE3" w:rsidP="003B7CE3">
      <w:pPr>
        <w:jc w:val="center"/>
        <w:rPr>
          <w:rFonts w:ascii="Times New Roman" w:hAnsi="Times New Roman" w:cs="Times New Roman"/>
          <w:b/>
          <w:bCs/>
          <w:sz w:val="28"/>
          <w:szCs w:val="28"/>
        </w:rPr>
      </w:pPr>
      <w:r w:rsidRPr="003B7CE3">
        <w:rPr>
          <w:rFonts w:ascii="Times New Roman" w:hAnsi="Times New Roman" w:cs="Times New Roman"/>
          <w:b/>
          <w:bCs/>
          <w:sz w:val="28"/>
          <w:szCs w:val="28"/>
        </w:rPr>
        <w:t>ЛЕКЦИЯНЫҢ ҚЫСҚА СИПАТТАМАСЫ</w:t>
      </w:r>
    </w:p>
    <w:p w:rsidR="001951BB" w:rsidRPr="001E54DA" w:rsidRDefault="003B7CE3" w:rsidP="001E54DA">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№15</w:t>
      </w:r>
      <w:r w:rsidRPr="003B7CE3">
        <w:rPr>
          <w:rFonts w:ascii="Times New Roman" w:hAnsi="Times New Roman" w:cs="Times New Roman"/>
          <w:b/>
          <w:bCs/>
          <w:sz w:val="28"/>
          <w:szCs w:val="28"/>
          <w:lang w:val="kk-KZ"/>
        </w:rPr>
        <w:t xml:space="preserve"> дәріс</w:t>
      </w:r>
      <w:r w:rsidR="00C65124" w:rsidRPr="001E54DA">
        <w:rPr>
          <w:rFonts w:ascii="Times New Roman" w:hAnsi="Times New Roman" w:cs="Times New Roman"/>
          <w:sz w:val="28"/>
          <w:szCs w:val="28"/>
          <w:lang w:val="kk-KZ"/>
        </w:rPr>
        <w:t xml:space="preserve">: </w:t>
      </w:r>
      <w:r w:rsidR="001E54DA" w:rsidRPr="003B7CE3">
        <w:rPr>
          <w:rFonts w:ascii="Times New Roman" w:eastAsia="Times New Roman" w:hAnsi="Times New Roman" w:cs="Times New Roman"/>
          <w:b/>
          <w:sz w:val="28"/>
          <w:szCs w:val="28"/>
          <w:lang w:val="kk-KZ" w:eastAsia="ru-RU"/>
        </w:rPr>
        <w:t>Композициялық материалдардың жіктелуі. Матрица мен талшық материалдарын таңдау принциптері</w:t>
      </w:r>
    </w:p>
    <w:p w:rsidR="001E54DA" w:rsidRDefault="001E54DA" w:rsidP="001E54DA">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1E54DA">
        <w:rPr>
          <w:rFonts w:ascii="Times New Roman" w:eastAsia="Times New Roman" w:hAnsi="Times New Roman" w:cs="Times New Roman"/>
          <w:b/>
          <w:sz w:val="28"/>
          <w:szCs w:val="28"/>
          <w:lang w:val="kk-KZ" w:eastAsia="ru-RU"/>
        </w:rPr>
        <w:t>Дәрістің мақсаты</w:t>
      </w:r>
      <w:r w:rsidR="003B7CE3">
        <w:rPr>
          <w:rFonts w:ascii="Times New Roman" w:eastAsia="Times New Roman" w:hAnsi="Times New Roman" w:cs="Times New Roman"/>
          <w:sz w:val="28"/>
          <w:szCs w:val="28"/>
          <w:lang w:val="kk-KZ" w:eastAsia="ru-RU"/>
        </w:rPr>
        <w:t xml:space="preserve">: </w:t>
      </w:r>
      <w:r w:rsidRPr="001E54DA">
        <w:rPr>
          <w:rFonts w:ascii="Times New Roman" w:eastAsia="Times New Roman" w:hAnsi="Times New Roman" w:cs="Times New Roman"/>
          <w:sz w:val="28"/>
          <w:szCs w:val="28"/>
          <w:lang w:val="kk-KZ" w:eastAsia="ru-RU"/>
        </w:rPr>
        <w:t>композициялық материалдардың түрлерін, олардың құрылымдық ерекшеліктерін, қасиеттерін анықтайтын факторларды және матрица мен талшық материалдарын дұрыс таңдаудың ғылыми принциптерін түсіндіру.</w:t>
      </w:r>
    </w:p>
    <w:p w:rsidR="00D76179" w:rsidRPr="00D76179" w:rsidRDefault="00D76179" w:rsidP="00D76179">
      <w:pPr>
        <w:spacing w:after="0" w:line="240" w:lineRule="auto"/>
        <w:jc w:val="both"/>
        <w:rPr>
          <w:rFonts w:ascii="Times New Roman" w:eastAsia="Times New Roman" w:hAnsi="Times New Roman" w:cs="Times New Roman"/>
          <w:b/>
          <w:sz w:val="28"/>
          <w:szCs w:val="28"/>
          <w:lang w:val="kk-KZ" w:eastAsia="ru-RU"/>
        </w:rPr>
      </w:pPr>
      <w:r w:rsidRPr="00D76179">
        <w:rPr>
          <w:rFonts w:ascii="Times New Roman" w:eastAsia="Times New Roman" w:hAnsi="Times New Roman" w:cs="Times New Roman"/>
          <w:b/>
          <w:sz w:val="28"/>
          <w:szCs w:val="28"/>
          <w:lang w:val="kk-KZ" w:eastAsia="ru-RU"/>
        </w:rPr>
        <w:t>Кіріспе</w:t>
      </w:r>
    </w:p>
    <w:p w:rsidR="00D76179" w:rsidRPr="00D76179" w:rsidRDefault="00D76179" w:rsidP="00D76179">
      <w:pPr>
        <w:spacing w:after="0" w:line="240" w:lineRule="auto"/>
        <w:ind w:firstLine="708"/>
        <w:jc w:val="both"/>
        <w:rPr>
          <w:rFonts w:ascii="Times New Roman" w:eastAsia="Times New Roman" w:hAnsi="Times New Roman" w:cs="Times New Roman"/>
          <w:sz w:val="28"/>
          <w:szCs w:val="28"/>
          <w:lang w:val="kk-KZ" w:eastAsia="ru-RU"/>
        </w:rPr>
      </w:pPr>
      <w:r w:rsidRPr="00D76179">
        <w:rPr>
          <w:rFonts w:ascii="Times New Roman" w:eastAsia="Times New Roman" w:hAnsi="Times New Roman" w:cs="Times New Roman"/>
          <w:sz w:val="28"/>
          <w:szCs w:val="28"/>
          <w:lang w:val="kk-KZ" w:eastAsia="ru-RU"/>
        </w:rPr>
        <w:t xml:space="preserve">Қазіргі техника мен өнеркәсіпте жоғары берікті, жеңіл және коррозияға төзімді материалдарға сұраныс артуда. Осындай талаптарға сай келетін заманауи материалдардың бірі </w:t>
      </w:r>
      <w:r>
        <w:rPr>
          <w:rFonts w:ascii="Times New Roman" w:eastAsia="Times New Roman" w:hAnsi="Times New Roman" w:cs="Times New Roman"/>
          <w:sz w:val="28"/>
          <w:szCs w:val="28"/>
          <w:lang w:val="kk-KZ" w:eastAsia="ru-RU"/>
        </w:rPr>
        <w:t>-</w:t>
      </w:r>
      <w:r w:rsidRPr="00D76179">
        <w:rPr>
          <w:rFonts w:ascii="Times New Roman" w:eastAsia="Times New Roman" w:hAnsi="Times New Roman" w:cs="Times New Roman"/>
          <w:sz w:val="28"/>
          <w:szCs w:val="28"/>
          <w:lang w:val="kk-KZ" w:eastAsia="ru-RU"/>
        </w:rPr>
        <w:t xml:space="preserve"> композициялық материалдар (КМ).</w:t>
      </w:r>
    </w:p>
    <w:p w:rsidR="00D76179" w:rsidRPr="001E54DA" w:rsidRDefault="00D76179" w:rsidP="00D76179">
      <w:pPr>
        <w:spacing w:after="0" w:line="240" w:lineRule="auto"/>
        <w:jc w:val="both"/>
        <w:rPr>
          <w:rFonts w:ascii="Times New Roman" w:eastAsia="Times New Roman" w:hAnsi="Times New Roman" w:cs="Times New Roman"/>
          <w:sz w:val="28"/>
          <w:szCs w:val="28"/>
          <w:lang w:val="kk-KZ" w:eastAsia="ru-RU"/>
        </w:rPr>
      </w:pPr>
      <w:r w:rsidRPr="00D76179">
        <w:rPr>
          <w:rFonts w:ascii="Times New Roman" w:eastAsia="Times New Roman" w:hAnsi="Times New Roman" w:cs="Times New Roman"/>
          <w:sz w:val="28"/>
          <w:szCs w:val="28"/>
          <w:lang w:val="kk-KZ" w:eastAsia="ru-RU"/>
        </w:rPr>
        <w:t xml:space="preserve">Композициялық материал </w:t>
      </w:r>
      <w:r>
        <w:rPr>
          <w:rFonts w:ascii="Times New Roman" w:eastAsia="Times New Roman" w:hAnsi="Times New Roman" w:cs="Times New Roman"/>
          <w:sz w:val="28"/>
          <w:szCs w:val="28"/>
          <w:lang w:val="kk-KZ" w:eastAsia="ru-RU"/>
        </w:rPr>
        <w:t>-</w:t>
      </w:r>
      <w:r w:rsidRPr="00D76179">
        <w:rPr>
          <w:rFonts w:ascii="Times New Roman" w:eastAsia="Times New Roman" w:hAnsi="Times New Roman" w:cs="Times New Roman"/>
          <w:sz w:val="28"/>
          <w:szCs w:val="28"/>
          <w:lang w:val="kk-KZ" w:eastAsia="ru-RU"/>
        </w:rPr>
        <w:t xml:space="preserve"> бұл екі немесе бірнеше компоненттен тұратын, олардың қасиеттері біріктірілген кезде ерекше сапаларға ие болатын жасанды материал.</w:t>
      </w:r>
    </w:p>
    <w:p w:rsidR="001E54DA" w:rsidRPr="001E54DA" w:rsidRDefault="001E54DA" w:rsidP="00D76179">
      <w:pPr>
        <w:spacing w:after="0" w:line="240" w:lineRule="auto"/>
        <w:ind w:firstLine="708"/>
        <w:jc w:val="both"/>
        <w:rPr>
          <w:rFonts w:ascii="Times New Roman" w:eastAsia="Times New Roman" w:hAnsi="Times New Roman" w:cs="Times New Roman"/>
          <w:sz w:val="28"/>
          <w:szCs w:val="28"/>
          <w:lang w:val="kk-KZ" w:eastAsia="ru-RU"/>
        </w:rPr>
      </w:pPr>
      <w:r w:rsidRPr="001E54DA">
        <w:rPr>
          <w:rFonts w:ascii="Times New Roman" w:eastAsia="Times New Roman" w:hAnsi="Times New Roman" w:cs="Times New Roman"/>
          <w:sz w:val="28"/>
          <w:szCs w:val="28"/>
          <w:lang w:val="kk-KZ" w:eastAsia="ru-RU"/>
        </w:rPr>
        <w:t>Бір материалда белгілі бір ретпен басқа материалдың талшықтары немесе дисперсті бөлшектері таралған матрица – композит деп аталады. Ал таралу армирлеу деп аталады. Армирлеуші материалдың таралу сипаты бойынша композиттер екі класқа бөлінеді: реттелген және реттелмеген армирленген материалдар. 1-жағдайда материал дайындаушы конфигурацияны, яғни матрицадағы арматураның таралуының геометриялық құрылымын алдын-ала береді. 2-жағдайда арматураның таралуы – кездейсоқ хаосты сипатта. Олар полимер, қыш және металл болуы мүмкін. Беріктігі және қатаңдығы (беріктік – бұзылуға қарсылық, қатаңдық – деформацияланбау) өте жоғары, жылуға тұрақты және химиялық әсерлерге тұрақты материал дайындау үшін периодтық жүйенің ортасындағы элементтер: көміртек, алюминий, кремний, оттек, азот қолданылады, олар өзара берік байланысқан қосылыстар түзеді. Мұндай қосылыстардың типтік өкілдері: SiC, Si</w:t>
      </w:r>
      <w:r w:rsidRPr="001E54DA">
        <w:rPr>
          <w:rFonts w:ascii="Times New Roman" w:eastAsia="Times New Roman" w:hAnsi="Times New Roman" w:cs="Times New Roman"/>
          <w:sz w:val="28"/>
          <w:szCs w:val="28"/>
          <w:vertAlign w:val="subscript"/>
          <w:lang w:val="kk-KZ" w:eastAsia="ru-RU"/>
        </w:rPr>
        <w:t>3</w:t>
      </w:r>
      <w:r w:rsidRPr="001E54DA">
        <w:rPr>
          <w:rFonts w:ascii="Times New Roman" w:eastAsia="Times New Roman" w:hAnsi="Times New Roman" w:cs="Times New Roman"/>
          <w:sz w:val="28"/>
          <w:szCs w:val="28"/>
          <w:lang w:val="kk-KZ" w:eastAsia="ru-RU"/>
        </w:rPr>
        <w:t>N</w:t>
      </w:r>
      <w:r w:rsidRPr="001E54DA">
        <w:rPr>
          <w:rFonts w:ascii="Times New Roman" w:eastAsia="Times New Roman" w:hAnsi="Times New Roman" w:cs="Times New Roman"/>
          <w:sz w:val="28"/>
          <w:szCs w:val="28"/>
          <w:vertAlign w:val="subscript"/>
          <w:lang w:val="kk-KZ" w:eastAsia="ru-RU"/>
        </w:rPr>
        <w:t>4</w:t>
      </w:r>
      <w:r w:rsidRPr="001E54DA">
        <w:rPr>
          <w:rFonts w:ascii="Times New Roman" w:eastAsia="Times New Roman" w:hAnsi="Times New Roman" w:cs="Times New Roman"/>
          <w:sz w:val="28"/>
          <w:szCs w:val="28"/>
          <w:lang w:val="kk-KZ" w:eastAsia="ru-RU"/>
        </w:rPr>
        <w:t>, SiO</w:t>
      </w:r>
      <w:r w:rsidRPr="001E54DA">
        <w:rPr>
          <w:rFonts w:ascii="Times New Roman" w:eastAsia="Times New Roman" w:hAnsi="Times New Roman" w:cs="Times New Roman"/>
          <w:sz w:val="28"/>
          <w:szCs w:val="28"/>
          <w:vertAlign w:val="subscript"/>
          <w:lang w:val="kk-KZ" w:eastAsia="ru-RU"/>
        </w:rPr>
        <w:t>2</w:t>
      </w:r>
      <w:r w:rsidRPr="001E54DA">
        <w:rPr>
          <w:rFonts w:ascii="Times New Roman" w:eastAsia="Times New Roman" w:hAnsi="Times New Roman" w:cs="Times New Roman"/>
          <w:sz w:val="28"/>
          <w:szCs w:val="28"/>
          <w:lang w:val="kk-KZ" w:eastAsia="ru-RU"/>
        </w:rPr>
        <w:t>, Al</w:t>
      </w:r>
      <w:r w:rsidRPr="001E54DA">
        <w:rPr>
          <w:rFonts w:ascii="Times New Roman" w:eastAsia="Times New Roman" w:hAnsi="Times New Roman" w:cs="Times New Roman"/>
          <w:sz w:val="28"/>
          <w:szCs w:val="28"/>
          <w:vertAlign w:val="subscript"/>
          <w:lang w:val="kk-KZ" w:eastAsia="ru-RU"/>
        </w:rPr>
        <w:t>2</w:t>
      </w:r>
      <w:r w:rsidRPr="001E54DA">
        <w:rPr>
          <w:rFonts w:ascii="Times New Roman" w:eastAsia="Times New Roman" w:hAnsi="Times New Roman" w:cs="Times New Roman"/>
          <w:sz w:val="28"/>
          <w:szCs w:val="28"/>
          <w:lang w:val="kk-KZ" w:eastAsia="ru-RU"/>
        </w:rPr>
        <w:t>O</w:t>
      </w:r>
      <w:r w:rsidRPr="001E54DA">
        <w:rPr>
          <w:rFonts w:ascii="Times New Roman" w:eastAsia="Times New Roman" w:hAnsi="Times New Roman" w:cs="Times New Roman"/>
          <w:sz w:val="28"/>
          <w:szCs w:val="28"/>
          <w:vertAlign w:val="subscript"/>
          <w:lang w:val="kk-KZ" w:eastAsia="ru-RU"/>
        </w:rPr>
        <w:t>3</w:t>
      </w:r>
      <w:r w:rsidRPr="001E54DA">
        <w:rPr>
          <w:rFonts w:ascii="Times New Roman" w:eastAsia="Times New Roman" w:hAnsi="Times New Roman" w:cs="Times New Roman"/>
          <w:sz w:val="28"/>
          <w:szCs w:val="28"/>
          <w:lang w:val="kk-KZ" w:eastAsia="ru-RU"/>
        </w:rPr>
        <w:t>. Оларға бірақ бір кемшілік тән - өте морт. Егер мұндай материалды ұсақ бөлшектер немесе жұқа талшықтардан жасаса, онда оның беріктігі жоғарылайды. Мысалы, терезе шынысы – берік емес материал, бірақ шыны жібі, ұсақ талшықтардан құралған, оның созылу беріктігі 3 ГН/мм</w:t>
      </w:r>
      <w:r w:rsidRPr="001E54DA">
        <w:rPr>
          <w:rFonts w:ascii="Times New Roman" w:eastAsia="Times New Roman" w:hAnsi="Times New Roman" w:cs="Times New Roman"/>
          <w:sz w:val="28"/>
          <w:szCs w:val="28"/>
          <w:vertAlign w:val="superscript"/>
          <w:lang w:val="kk-KZ" w:eastAsia="ru-RU"/>
        </w:rPr>
        <w:t>2</w:t>
      </w:r>
      <w:r w:rsidRPr="001E54DA">
        <w:rPr>
          <w:rFonts w:ascii="Times New Roman" w:eastAsia="Times New Roman" w:hAnsi="Times New Roman" w:cs="Times New Roman"/>
          <w:sz w:val="28"/>
          <w:szCs w:val="28"/>
          <w:lang w:val="kk-KZ" w:eastAsia="ru-RU"/>
        </w:rPr>
        <w:t>. Кәдімгі болаттың беріктігі 0,5 ГН/мм</w:t>
      </w:r>
      <w:r w:rsidRPr="001E54DA">
        <w:rPr>
          <w:rFonts w:ascii="Times New Roman" w:eastAsia="Times New Roman" w:hAnsi="Times New Roman" w:cs="Times New Roman"/>
          <w:sz w:val="28"/>
          <w:szCs w:val="28"/>
          <w:vertAlign w:val="superscript"/>
          <w:lang w:val="kk-KZ" w:eastAsia="ru-RU"/>
        </w:rPr>
        <w:t>2</w:t>
      </w:r>
      <w:r w:rsidRPr="001E54DA">
        <w:rPr>
          <w:rFonts w:ascii="Times New Roman" w:eastAsia="Times New Roman" w:hAnsi="Times New Roman" w:cs="Times New Roman"/>
          <w:sz w:val="28"/>
          <w:szCs w:val="28"/>
          <w:lang w:val="kk-KZ" w:eastAsia="ru-RU"/>
        </w:rPr>
        <w:t xml:space="preserve">. Ұсақ бөлшектердің беріктігі морт бұзылуға алып келетін ақаудың үлгіде пайда болу ықтималдығы үлгі өлшемі кеміген сайын төмендейді: </w:t>
      </w:r>
      <w:r w:rsidRPr="001E54DA">
        <w:rPr>
          <w:rFonts w:ascii="Times New Roman" w:eastAsia="Times New Roman" w:hAnsi="Times New Roman" w:cs="Times New Roman"/>
          <w:i/>
          <w:iCs/>
          <w:sz w:val="28"/>
          <w:szCs w:val="28"/>
          <w:lang w:val="kk-KZ" w:eastAsia="ru-RU"/>
        </w:rPr>
        <w:t xml:space="preserve">W≈1/d. </w:t>
      </w:r>
      <w:r w:rsidRPr="001E54DA">
        <w:rPr>
          <w:rFonts w:ascii="Times New Roman" w:eastAsia="Times New Roman" w:hAnsi="Times New Roman" w:cs="Times New Roman"/>
          <w:sz w:val="28"/>
          <w:szCs w:val="28"/>
          <w:lang w:val="kk-KZ" w:eastAsia="ru-RU"/>
        </w:rPr>
        <w:t>Бір талшық үзілгенде, ол басқа талшықтарға таралмайды да, жалпы жіп бұзылмайды. Ал біртекті материалда жарықшақ бүкіл үлгі бұзылғанша таралады. Талшықтардың беріктігін арттыру үшін оларды матрицаға орналыстырады, ол талшықтарды біріктіріп, материалға қатты пішін береді (12.1-сурет).Құралымдық (конструкциялық) композит алудың негізгі мақсаты – талшықтардың матрицадағы беріктігін сақтау.</w:t>
      </w:r>
    </w:p>
    <w:p w:rsidR="001E54DA" w:rsidRPr="001E54DA" w:rsidRDefault="001E54DA" w:rsidP="001E54DA">
      <w:pPr>
        <w:spacing w:before="100" w:beforeAutospacing="1" w:after="100" w:afterAutospacing="1"/>
        <w:jc w:val="center"/>
        <w:rPr>
          <w:rFonts w:ascii="Times New Roman" w:hAnsi="Times New Roman" w:cs="Times New Roman"/>
          <w:sz w:val="28"/>
          <w:szCs w:val="28"/>
          <w:lang w:val="kk-KZ"/>
        </w:rPr>
      </w:pPr>
      <w:r w:rsidRPr="001E54DA">
        <w:rPr>
          <w:rFonts w:ascii="Times New Roman" w:hAnsi="Times New Roman" w:cs="Times New Roman"/>
          <w:noProof/>
          <w:sz w:val="28"/>
          <w:szCs w:val="28"/>
          <w:lang w:eastAsia="ru-RU"/>
        </w:rPr>
        <w:lastRenderedPageBreak/>
        <w:drawing>
          <wp:inline distT="0" distB="0" distL="0" distR="0" wp14:anchorId="262BE1FD" wp14:editId="7C896253">
            <wp:extent cx="1804035" cy="1191948"/>
            <wp:effectExtent l="0" t="0" r="5715" b="8255"/>
            <wp:docPr id="104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Picture 23"/>
                    <pic:cNvPicPr>
                      <a:picLocks noChangeAspect="1" noChangeArrowheads="1"/>
                    </pic:cNvPicPr>
                  </pic:nvPicPr>
                  <pic:blipFill>
                    <a:blip r:embed="rId5">
                      <a:lum bright="-42000" contrast="72000"/>
                      <a:grayscl/>
                      <a:extLst>
                        <a:ext uri="{28A0092B-C50C-407E-A947-70E740481C1C}">
                          <a14:useLocalDpi xmlns:a14="http://schemas.microsoft.com/office/drawing/2010/main" val="0"/>
                        </a:ext>
                      </a:extLst>
                    </a:blip>
                    <a:srcRect/>
                    <a:stretch>
                      <a:fillRect/>
                    </a:stretch>
                  </pic:blipFill>
                  <pic:spPr bwMode="auto">
                    <a:xfrm>
                      <a:off x="0" y="0"/>
                      <a:ext cx="1891543" cy="1249766"/>
                    </a:xfrm>
                    <a:prstGeom prst="rect">
                      <a:avLst/>
                    </a:prstGeom>
                    <a:noFill/>
                    <a:extLst/>
                  </pic:spPr>
                </pic:pic>
              </a:graphicData>
            </a:graphic>
          </wp:inline>
        </w:drawing>
      </w:r>
    </w:p>
    <w:p w:rsidR="001E54DA" w:rsidRPr="003B7CE3" w:rsidRDefault="001E54DA" w:rsidP="00F1446A">
      <w:pPr>
        <w:spacing w:before="100" w:beforeAutospacing="1" w:after="100" w:afterAutospacing="1"/>
        <w:jc w:val="center"/>
        <w:rPr>
          <w:rFonts w:ascii="Times New Roman" w:hAnsi="Times New Roman" w:cs="Times New Roman"/>
          <w:sz w:val="28"/>
          <w:szCs w:val="28"/>
          <w:lang w:val="kk-KZ"/>
        </w:rPr>
      </w:pPr>
      <w:r w:rsidRPr="003B7CE3">
        <w:rPr>
          <w:rFonts w:ascii="Times New Roman" w:hAnsi="Times New Roman" w:cs="Times New Roman"/>
          <w:sz w:val="28"/>
          <w:szCs w:val="28"/>
          <w:lang w:val="kk-KZ"/>
        </w:rPr>
        <w:t>1-сурет. Талшықпен армирленген композициялық материалды бүтін (а) және айрылған (б) талшықтарға созғандағы ығысу жүктемесі</w:t>
      </w:r>
    </w:p>
    <w:p w:rsidR="001E54DA" w:rsidRPr="001E54DA" w:rsidRDefault="001E54DA" w:rsidP="003B7CE3">
      <w:pPr>
        <w:spacing w:before="100" w:beforeAutospacing="1" w:after="100" w:afterAutospacing="1"/>
        <w:ind w:firstLine="708"/>
        <w:jc w:val="both"/>
        <w:rPr>
          <w:rFonts w:ascii="Times New Roman" w:hAnsi="Times New Roman" w:cs="Times New Roman"/>
          <w:sz w:val="28"/>
          <w:szCs w:val="28"/>
          <w:lang w:val="kk-KZ"/>
        </w:rPr>
      </w:pPr>
      <w:r w:rsidRPr="001E54DA">
        <w:rPr>
          <w:rFonts w:ascii="Times New Roman" w:hAnsi="Times New Roman" w:cs="Times New Roman"/>
          <w:sz w:val="28"/>
          <w:szCs w:val="28"/>
          <w:lang w:val="kk-KZ"/>
        </w:rPr>
        <w:t xml:space="preserve">Матрица материалына қойылатын талап - композиттің қызмет ету температуралар облысында жұмыс қабілетін қамтамасыз ету. 200 </w:t>
      </w:r>
      <w:r w:rsidRPr="001E54DA">
        <w:rPr>
          <w:rFonts w:ascii="Times New Roman" w:hAnsi="Times New Roman" w:cs="Times New Roman"/>
          <w:sz w:val="28"/>
          <w:szCs w:val="28"/>
          <w:vertAlign w:val="superscript"/>
          <w:lang w:val="kk-KZ"/>
        </w:rPr>
        <w:t>0</w:t>
      </w:r>
      <w:r w:rsidRPr="001E54DA">
        <w:rPr>
          <w:rFonts w:ascii="Times New Roman" w:hAnsi="Times New Roman" w:cs="Times New Roman"/>
          <w:sz w:val="28"/>
          <w:szCs w:val="28"/>
          <w:lang w:val="kk-KZ"/>
        </w:rPr>
        <w:t xml:space="preserve">С-тан  жоғары температуралық облыста жұмыс жасайтын композиттер дайындау үшін полимерлік матрицалар қолданылады. Бұл композиттерге жатады: Шыныпластик – полиэфир шайырынан жасалған матрицадағы қысқа шыны талшықтар. Ол автомобиль, қайық, тұрмыстық аспаптардың корпустарын дайындауда қолданылады.Термореактивті пластиктер – тізбектерінің арасындағы көлденең байланыстары қатаң үшөлшемді торлы молекулалық құрылыс түзетін полимерлер. Мысалы, эпоксидты шайырлар.Жоғары температуралар үшін металл матрицаларды қолданады. Бірақ олар ауыр. Жылуға тұрақты, берік, иілгіш. Өте жоғары температуралар үшін қыш матрицаларды қолданады. Кемшілігі – иілгіш емес. Мысалы, бор силикатты шыны SiC талшықтарынан тұрады, ол 100 </w:t>
      </w:r>
      <w:r w:rsidRPr="001E54DA">
        <w:rPr>
          <w:rFonts w:ascii="Times New Roman" w:hAnsi="Times New Roman" w:cs="Times New Roman"/>
          <w:sz w:val="28"/>
          <w:szCs w:val="28"/>
          <w:vertAlign w:val="superscript"/>
          <w:lang w:val="kk-KZ"/>
        </w:rPr>
        <w:t>0</w:t>
      </w:r>
      <w:r w:rsidRPr="001E54DA">
        <w:rPr>
          <w:rFonts w:ascii="Times New Roman" w:hAnsi="Times New Roman" w:cs="Times New Roman"/>
          <w:sz w:val="28"/>
          <w:szCs w:val="28"/>
          <w:lang w:val="kk-KZ"/>
        </w:rPr>
        <w:t>С-тан төмен температурада беріктігін сақтайды. SiC, Si</w:t>
      </w:r>
      <w:r w:rsidRPr="001E54DA">
        <w:rPr>
          <w:rFonts w:ascii="Times New Roman" w:hAnsi="Times New Roman" w:cs="Times New Roman"/>
          <w:sz w:val="28"/>
          <w:szCs w:val="28"/>
          <w:vertAlign w:val="subscript"/>
          <w:lang w:val="kk-KZ"/>
        </w:rPr>
        <w:t>3</w:t>
      </w:r>
      <w:r w:rsidRPr="001E54DA">
        <w:rPr>
          <w:rFonts w:ascii="Times New Roman" w:hAnsi="Times New Roman" w:cs="Times New Roman"/>
          <w:sz w:val="28"/>
          <w:szCs w:val="28"/>
          <w:lang w:val="kk-KZ"/>
        </w:rPr>
        <w:t>N</w:t>
      </w:r>
      <w:r w:rsidRPr="001E54DA">
        <w:rPr>
          <w:rFonts w:ascii="Times New Roman" w:hAnsi="Times New Roman" w:cs="Times New Roman"/>
          <w:sz w:val="28"/>
          <w:szCs w:val="28"/>
          <w:vertAlign w:val="subscript"/>
          <w:lang w:val="kk-KZ"/>
        </w:rPr>
        <w:t>4</w:t>
      </w:r>
      <w:r w:rsidRPr="001E54DA">
        <w:rPr>
          <w:rFonts w:ascii="Times New Roman" w:hAnsi="Times New Roman" w:cs="Times New Roman"/>
          <w:sz w:val="28"/>
          <w:szCs w:val="28"/>
          <w:lang w:val="kk-KZ"/>
        </w:rPr>
        <w:t>, Al</w:t>
      </w:r>
      <w:r w:rsidRPr="001E54DA">
        <w:rPr>
          <w:rFonts w:ascii="Times New Roman" w:hAnsi="Times New Roman" w:cs="Times New Roman"/>
          <w:sz w:val="28"/>
          <w:szCs w:val="28"/>
          <w:vertAlign w:val="subscript"/>
          <w:lang w:val="kk-KZ"/>
        </w:rPr>
        <w:t>2</w:t>
      </w:r>
      <w:r w:rsidRPr="001E54DA">
        <w:rPr>
          <w:rFonts w:ascii="Times New Roman" w:hAnsi="Times New Roman" w:cs="Times New Roman"/>
          <w:sz w:val="28"/>
          <w:szCs w:val="28"/>
          <w:lang w:val="kk-KZ"/>
        </w:rPr>
        <w:t>O</w:t>
      </w:r>
      <w:r w:rsidRPr="001E54DA">
        <w:rPr>
          <w:rFonts w:ascii="Times New Roman" w:hAnsi="Times New Roman" w:cs="Times New Roman"/>
          <w:sz w:val="28"/>
          <w:szCs w:val="28"/>
          <w:vertAlign w:val="subscript"/>
          <w:lang w:val="kk-KZ"/>
        </w:rPr>
        <w:t xml:space="preserve">3 </w:t>
      </w:r>
      <w:r w:rsidRPr="001E54DA">
        <w:rPr>
          <w:rFonts w:ascii="Times New Roman" w:hAnsi="Times New Roman" w:cs="Times New Roman"/>
          <w:sz w:val="28"/>
          <w:szCs w:val="28"/>
          <w:lang w:val="kk-KZ"/>
        </w:rPr>
        <w:t xml:space="preserve">матрицалары 1700 </w:t>
      </w:r>
      <w:r w:rsidRPr="001E54DA">
        <w:rPr>
          <w:rFonts w:ascii="Times New Roman" w:hAnsi="Times New Roman" w:cs="Times New Roman"/>
          <w:sz w:val="28"/>
          <w:szCs w:val="28"/>
          <w:vertAlign w:val="superscript"/>
          <w:lang w:val="kk-KZ"/>
        </w:rPr>
        <w:t>0</w:t>
      </w:r>
      <w:r w:rsidRPr="001E54DA">
        <w:rPr>
          <w:rFonts w:ascii="Times New Roman" w:hAnsi="Times New Roman" w:cs="Times New Roman"/>
          <w:sz w:val="28"/>
          <w:szCs w:val="28"/>
          <w:lang w:val="kk-KZ"/>
        </w:rPr>
        <w:t xml:space="preserve">С-та жұмыс істейді. Қыш материалдарға жататын маңызды матрица – көміртекті. Ол жоғары температураға шыдайды, қатты және кеуектілігі аз. Жиі аморфты көміртек қолданылады, ал талшық ретінде – графит. Мұндай көміртек-көміртекті композит 2500 </w:t>
      </w:r>
      <w:r w:rsidRPr="001E54DA">
        <w:rPr>
          <w:rFonts w:ascii="Times New Roman" w:hAnsi="Times New Roman" w:cs="Times New Roman"/>
          <w:sz w:val="28"/>
          <w:szCs w:val="28"/>
          <w:vertAlign w:val="superscript"/>
          <w:lang w:val="kk-KZ"/>
        </w:rPr>
        <w:t>0</w:t>
      </w:r>
      <w:r w:rsidRPr="001E54DA">
        <w:rPr>
          <w:rFonts w:ascii="Times New Roman" w:hAnsi="Times New Roman" w:cs="Times New Roman"/>
          <w:sz w:val="28"/>
          <w:szCs w:val="28"/>
          <w:lang w:val="kk-KZ"/>
        </w:rPr>
        <w:t xml:space="preserve">С-қа дейін шыдайды және атмосферадан тыс авиация үшін перспективті. Кемшілігі – тотығу және абляция – бетінен ыстық газ ағынымен массаның әкетілуі. Оны  болдырмау үшін бетіне жұқа SiC  қаптайды. Бұл материал «Шаттлдың» конструкциясында қолданылады. Техникалық аты – RCC (reasable carbon-carbon). Ол аппарат массасын азайтып, 1000 км-ге дейін ұшу ұзақтығын арттырады. Сонымен, матрица материалын таңдау ең алдымен композициялық материалдың жұмыс температурасымен анықталады. Барлық талшықтар (металл, қыш, полимер, көміртек) берік, бірақ шыны талшығы созылғыш, ал көміртек талшығы деформацияланбайды. Соққыға төзімді композит ретінде, мысалы оқ өтпейтін материалдарда шыны да, көміртек те сәйкес келмейді, қатаңдығы аздау, полимерлі талшық қолданылады. Талшық таңдаудың маңызды принципі – матрица материалымен химиялық үйлесімділігі. Синергизмді қамтамасыз ету үшін талшық материалы балқыған, бірақ қатпаған матрицаға жақсы жұғу керек. Соңдай-ақ матрицамен бірігу кезінде талшықты бұзатын химиялық реакциялар өтпеу керек. Мысалы, </w:t>
      </w:r>
      <w:r w:rsidRPr="001E54DA">
        <w:rPr>
          <w:rFonts w:ascii="Times New Roman" w:hAnsi="Times New Roman" w:cs="Times New Roman"/>
          <w:sz w:val="28"/>
          <w:szCs w:val="28"/>
          <w:lang w:val="kk-KZ"/>
        </w:rPr>
        <w:lastRenderedPageBreak/>
        <w:t>полимер талшықтары металл балқымасында көмірленеді, көміртектілер тотығады. Осылайша, талшықтардың материалын таңдауда төрт  критерийге қарайды: композит беріктігі, қатаңдығы, талшықтың жұғуы және оның матрица балқымасында химиялық тұрақтылығы.</w:t>
      </w:r>
    </w:p>
    <w:p w:rsidR="001E54DA" w:rsidRPr="001E54DA" w:rsidRDefault="001E54DA" w:rsidP="003B7CE3">
      <w:pPr>
        <w:spacing w:before="100" w:beforeAutospacing="1" w:after="100" w:afterAutospacing="1"/>
        <w:ind w:firstLine="708"/>
        <w:jc w:val="both"/>
        <w:rPr>
          <w:rFonts w:ascii="Times New Roman" w:hAnsi="Times New Roman" w:cs="Times New Roman"/>
          <w:sz w:val="28"/>
          <w:szCs w:val="28"/>
          <w:lang w:val="kk-KZ"/>
        </w:rPr>
      </w:pPr>
      <w:r w:rsidRPr="001E54DA">
        <w:rPr>
          <w:rFonts w:ascii="Times New Roman" w:hAnsi="Times New Roman" w:cs="Times New Roman"/>
          <w:sz w:val="28"/>
          <w:szCs w:val="28"/>
          <w:lang w:val="kk-KZ"/>
        </w:rPr>
        <w:t xml:space="preserve">Реттелген композиттің ішкі құрылымы әртүрлі болуы мүмкін, оның қасиеттері соған да тәуелді. Беріктілігі жоғары композиттің ең қарапайым геометриясы фанера құрылысын еске түсіреді. Талшықтар беттік өңделіп, адгезиясы жоғарылайды, сосын ваннада полимерлі шайырмен қаптайды. Нәтижесінде шайыр талшықтарды жазық жіп – лентаға біріктіреді. Дайын ленталарды қабатты материалға жинайды немесе күрделі формаға орайды. Жиналған не оралған материалды термоөңдеу арқылы қатайтады. Қабаттарды кезекпен әртүрлі бағытта орналастырып, композитте арматураның торлы құрылымын қалыптастыруға болады. Бұл материалға қатаңдық береді (12.2-сурет). Мұндай композиттің кемшілігі - әрбір жекеқабатта және қабаттар аралығында көлденең армирлеудің жоқтығы. Сондықтан материал ажырауы мүмкін. Сондай-ақ пайда болған жарықшақ көлемдік үлгіде қабаттар аралығында таралуға тез жол табады. </w:t>
      </w:r>
    </w:p>
    <w:p w:rsidR="001E54DA" w:rsidRPr="001E54DA" w:rsidRDefault="001E54DA" w:rsidP="001E54DA">
      <w:pPr>
        <w:spacing w:before="100" w:beforeAutospacing="1" w:after="100" w:afterAutospacing="1"/>
        <w:jc w:val="center"/>
        <w:rPr>
          <w:rFonts w:ascii="Times New Roman" w:hAnsi="Times New Roman" w:cs="Times New Roman"/>
          <w:sz w:val="28"/>
          <w:szCs w:val="28"/>
          <w:lang w:val="kk-KZ"/>
        </w:rPr>
      </w:pPr>
      <w:r w:rsidRPr="001E54DA">
        <w:rPr>
          <w:rFonts w:ascii="Times New Roman" w:hAnsi="Times New Roman" w:cs="Times New Roman"/>
          <w:noProof/>
          <w:sz w:val="28"/>
          <w:szCs w:val="28"/>
          <w:lang w:eastAsia="ru-RU"/>
        </w:rPr>
        <w:drawing>
          <wp:inline distT="0" distB="0" distL="0" distR="0" wp14:anchorId="4120EF52" wp14:editId="74C13965">
            <wp:extent cx="3032045" cy="2249805"/>
            <wp:effectExtent l="0" t="0" r="0" b="0"/>
            <wp:docPr id="3074"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Рисунок 8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6635" cy="2253211"/>
                    </a:xfrm>
                    <a:prstGeom prst="rect">
                      <a:avLst/>
                    </a:prstGeom>
                    <a:noFill/>
                    <a:ln>
                      <a:noFill/>
                    </a:ln>
                    <a:extLst/>
                  </pic:spPr>
                </pic:pic>
              </a:graphicData>
            </a:graphic>
          </wp:inline>
        </w:drawing>
      </w:r>
    </w:p>
    <w:p w:rsidR="001E54DA" w:rsidRPr="002C6806" w:rsidRDefault="002C6806" w:rsidP="00F1446A">
      <w:pPr>
        <w:spacing w:before="100" w:beforeAutospacing="1" w:after="100" w:afterAutospacing="1"/>
        <w:jc w:val="center"/>
        <w:rPr>
          <w:rFonts w:ascii="Times New Roman" w:hAnsi="Times New Roman" w:cs="Times New Roman"/>
          <w:sz w:val="28"/>
          <w:szCs w:val="24"/>
          <w:lang w:val="kk-KZ"/>
        </w:rPr>
      </w:pPr>
      <w:r w:rsidRPr="002C6806">
        <w:rPr>
          <w:rFonts w:ascii="Times New Roman" w:hAnsi="Times New Roman" w:cs="Times New Roman"/>
          <w:sz w:val="28"/>
          <w:szCs w:val="24"/>
          <w:lang w:val="kk-KZ"/>
        </w:rPr>
        <w:t>2</w:t>
      </w:r>
      <w:r w:rsidR="001E54DA" w:rsidRPr="002C6806">
        <w:rPr>
          <w:rFonts w:ascii="Times New Roman" w:hAnsi="Times New Roman" w:cs="Times New Roman"/>
          <w:sz w:val="28"/>
          <w:szCs w:val="24"/>
          <w:lang w:val="kk-KZ"/>
        </w:rPr>
        <w:t>-сурет. Композициялық материалды дайындау сызбанұсқасы</w:t>
      </w:r>
    </w:p>
    <w:p w:rsidR="001E54DA" w:rsidRPr="001E54DA" w:rsidRDefault="001E54DA" w:rsidP="003B7CE3">
      <w:pPr>
        <w:spacing w:before="100" w:beforeAutospacing="1" w:after="100" w:afterAutospacing="1"/>
        <w:ind w:firstLine="708"/>
        <w:jc w:val="both"/>
        <w:rPr>
          <w:rFonts w:ascii="Times New Roman" w:hAnsi="Times New Roman" w:cs="Times New Roman"/>
          <w:sz w:val="28"/>
          <w:szCs w:val="28"/>
          <w:lang w:val="kk-KZ"/>
        </w:rPr>
      </w:pPr>
      <w:r w:rsidRPr="001E54DA">
        <w:rPr>
          <w:rFonts w:ascii="Times New Roman" w:hAnsi="Times New Roman" w:cs="Times New Roman"/>
          <w:sz w:val="28"/>
          <w:szCs w:val="28"/>
          <w:lang w:val="kk-KZ"/>
        </w:rPr>
        <w:t>Бұл әдіс тігін ісінен алынған. 12.3-суретте кәдімгі екі осьті тігілген материал көрсетілген. Үш өзара перпендикуляр бағытта бағытталған үшөлшемді ортагональды жүйе – көміртек - көміртекті композиттің геометриясы (12.4-сурет).  Мұндай жүйе материалдың соқпа беріктігін жоғарылатады, себебі жарықшақ таралу үшін күрделі жолды табу керек.</w:t>
      </w:r>
    </w:p>
    <w:p w:rsidR="001E54DA" w:rsidRPr="001E54DA" w:rsidRDefault="001E54DA" w:rsidP="001E54DA">
      <w:pPr>
        <w:spacing w:before="100" w:beforeAutospacing="1" w:after="100" w:afterAutospacing="1"/>
        <w:jc w:val="center"/>
        <w:rPr>
          <w:rFonts w:ascii="Times New Roman" w:hAnsi="Times New Roman" w:cs="Times New Roman"/>
          <w:sz w:val="28"/>
          <w:szCs w:val="28"/>
          <w:lang w:val="kk-KZ"/>
        </w:rPr>
      </w:pPr>
      <w:r w:rsidRPr="001E54DA">
        <w:rPr>
          <w:rFonts w:ascii="Times New Roman" w:hAnsi="Times New Roman" w:cs="Times New Roman"/>
          <w:noProof/>
          <w:sz w:val="28"/>
          <w:szCs w:val="28"/>
          <w:lang w:eastAsia="ru-RU"/>
        </w:rPr>
        <w:lastRenderedPageBreak/>
        <w:drawing>
          <wp:inline distT="0" distB="0" distL="0" distR="0" wp14:anchorId="5F56ACC6" wp14:editId="75B4309D">
            <wp:extent cx="1425560" cy="1550035"/>
            <wp:effectExtent l="0" t="0" r="3810" b="0"/>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7">
                      <a:lum bright="-36000" contrast="72000"/>
                      <a:grayscl/>
                      <a:extLst>
                        <a:ext uri="{28A0092B-C50C-407E-A947-70E740481C1C}">
                          <a14:useLocalDpi xmlns:a14="http://schemas.microsoft.com/office/drawing/2010/main" val="0"/>
                        </a:ext>
                      </a:extLst>
                    </a:blip>
                    <a:srcRect/>
                    <a:stretch>
                      <a:fillRect/>
                    </a:stretch>
                  </pic:blipFill>
                  <pic:spPr bwMode="auto">
                    <a:xfrm>
                      <a:off x="0" y="0"/>
                      <a:ext cx="1434355" cy="1559598"/>
                    </a:xfrm>
                    <a:prstGeom prst="rect">
                      <a:avLst/>
                    </a:prstGeom>
                    <a:noFill/>
                    <a:extLst/>
                  </pic:spPr>
                </pic:pic>
              </a:graphicData>
            </a:graphic>
          </wp:inline>
        </w:drawing>
      </w:r>
      <w:r w:rsidRPr="001E54DA">
        <w:rPr>
          <w:rFonts w:ascii="Times New Roman" w:hAnsi="Times New Roman" w:cs="Times New Roman"/>
          <w:noProof/>
          <w:sz w:val="28"/>
          <w:szCs w:val="28"/>
          <w:lang w:eastAsia="ru-RU"/>
        </w:rPr>
        <w:drawing>
          <wp:inline distT="0" distB="0" distL="0" distR="0" wp14:anchorId="1F88FFA8" wp14:editId="422EDEC8">
            <wp:extent cx="1630680" cy="1515063"/>
            <wp:effectExtent l="0" t="0" r="7620" b="9525"/>
            <wp:docPr id="4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8">
                      <a:lum bright="-36000" contrast="66000"/>
                      <a:grayscl/>
                      <a:extLst>
                        <a:ext uri="{28A0092B-C50C-407E-A947-70E740481C1C}">
                          <a14:useLocalDpi xmlns:a14="http://schemas.microsoft.com/office/drawing/2010/main" val="0"/>
                        </a:ext>
                      </a:extLst>
                    </a:blip>
                    <a:srcRect/>
                    <a:stretch>
                      <a:fillRect/>
                    </a:stretch>
                  </pic:blipFill>
                  <pic:spPr bwMode="auto">
                    <a:xfrm>
                      <a:off x="0" y="0"/>
                      <a:ext cx="1649320" cy="1532382"/>
                    </a:xfrm>
                    <a:prstGeom prst="rect">
                      <a:avLst/>
                    </a:prstGeom>
                    <a:noFill/>
                    <a:ln>
                      <a:noFill/>
                    </a:ln>
                    <a:extLst/>
                  </pic:spPr>
                </pic:pic>
              </a:graphicData>
            </a:graphic>
          </wp:inline>
        </w:drawing>
      </w:r>
    </w:p>
    <w:p w:rsidR="001E54DA" w:rsidRPr="003B7CE3" w:rsidRDefault="002C6806" w:rsidP="00F1446A">
      <w:pPr>
        <w:spacing w:before="100" w:beforeAutospacing="1" w:after="100" w:afterAutospacing="1"/>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1E54DA" w:rsidRPr="003B7CE3">
        <w:rPr>
          <w:rFonts w:ascii="Times New Roman" w:hAnsi="Times New Roman" w:cs="Times New Roman"/>
          <w:sz w:val="28"/>
          <w:szCs w:val="28"/>
          <w:lang w:val="kk-KZ"/>
        </w:rPr>
        <w:t>-сурет. Екі осьті тігілген материал және Үш өзара перпендикуляр бағытта бағытталған үшөлшемді ортагональды жүйе</w:t>
      </w:r>
    </w:p>
    <w:p w:rsidR="003B7CE3" w:rsidRDefault="001E54DA" w:rsidP="003B7CE3">
      <w:pPr>
        <w:spacing w:before="100" w:beforeAutospacing="1" w:after="100" w:afterAutospacing="1"/>
        <w:ind w:firstLine="708"/>
        <w:jc w:val="both"/>
        <w:rPr>
          <w:rFonts w:ascii="Times New Roman" w:hAnsi="Times New Roman" w:cs="Times New Roman"/>
          <w:sz w:val="28"/>
          <w:szCs w:val="28"/>
          <w:lang w:val="kk-KZ"/>
        </w:rPr>
      </w:pPr>
      <w:r w:rsidRPr="001E54DA">
        <w:rPr>
          <w:rFonts w:ascii="Times New Roman" w:hAnsi="Times New Roman" w:cs="Times New Roman"/>
          <w:sz w:val="28"/>
          <w:szCs w:val="28"/>
          <w:lang w:val="kk-KZ"/>
        </w:rPr>
        <w:t>Оның таралу уақытында материал алған энергиясын шашыратып, беріктігін сақтап қалады. Мысалы, алюминий талшықтары параллель таралған Al</w:t>
      </w:r>
      <w:r w:rsidRPr="001E54DA">
        <w:rPr>
          <w:rFonts w:ascii="Times New Roman" w:hAnsi="Times New Roman" w:cs="Times New Roman"/>
          <w:sz w:val="28"/>
          <w:szCs w:val="28"/>
          <w:vertAlign w:val="subscript"/>
          <w:lang w:val="kk-KZ"/>
        </w:rPr>
        <w:t>2</w:t>
      </w:r>
      <w:r w:rsidRPr="001E54DA">
        <w:rPr>
          <w:rFonts w:ascii="Times New Roman" w:hAnsi="Times New Roman" w:cs="Times New Roman"/>
          <w:sz w:val="28"/>
          <w:szCs w:val="28"/>
          <w:lang w:val="kk-KZ"/>
        </w:rPr>
        <w:t>O</w:t>
      </w:r>
      <w:r w:rsidRPr="001E54DA">
        <w:rPr>
          <w:rFonts w:ascii="Times New Roman" w:hAnsi="Times New Roman" w:cs="Times New Roman"/>
          <w:sz w:val="28"/>
          <w:szCs w:val="28"/>
          <w:vertAlign w:val="subscript"/>
          <w:lang w:val="kk-KZ"/>
        </w:rPr>
        <w:t xml:space="preserve">3 </w:t>
      </w:r>
      <w:r w:rsidRPr="001E54DA">
        <w:rPr>
          <w:rFonts w:ascii="Times New Roman" w:hAnsi="Times New Roman" w:cs="Times New Roman"/>
          <w:sz w:val="28"/>
          <w:szCs w:val="28"/>
          <w:lang w:val="kk-KZ"/>
        </w:rPr>
        <w:t>композиті таза алюминийден берік емес. Бірақ алюминий – үшөлшемді ортогональды таралған Al</w:t>
      </w:r>
      <w:r w:rsidRPr="001E54DA">
        <w:rPr>
          <w:rFonts w:ascii="Times New Roman" w:hAnsi="Times New Roman" w:cs="Times New Roman"/>
          <w:sz w:val="28"/>
          <w:szCs w:val="28"/>
          <w:vertAlign w:val="subscript"/>
          <w:lang w:val="kk-KZ"/>
        </w:rPr>
        <w:t>2</w:t>
      </w:r>
      <w:r w:rsidRPr="001E54DA">
        <w:rPr>
          <w:rFonts w:ascii="Times New Roman" w:hAnsi="Times New Roman" w:cs="Times New Roman"/>
          <w:sz w:val="28"/>
          <w:szCs w:val="28"/>
          <w:lang w:val="kk-KZ"/>
        </w:rPr>
        <w:t>O</w:t>
      </w:r>
      <w:r w:rsidRPr="001E54DA">
        <w:rPr>
          <w:rFonts w:ascii="Times New Roman" w:hAnsi="Times New Roman" w:cs="Times New Roman"/>
          <w:sz w:val="28"/>
          <w:szCs w:val="28"/>
          <w:vertAlign w:val="subscript"/>
          <w:lang w:val="kk-KZ"/>
        </w:rPr>
        <w:t xml:space="preserve">3 </w:t>
      </w:r>
      <w:r w:rsidRPr="001E54DA">
        <w:rPr>
          <w:rFonts w:ascii="Times New Roman" w:hAnsi="Times New Roman" w:cs="Times New Roman"/>
          <w:sz w:val="28"/>
          <w:szCs w:val="28"/>
          <w:lang w:val="kk-KZ"/>
        </w:rPr>
        <w:t>матрицасының беріктігі алюминиймен бірдей. Осылайша, композит арматурасының конфигурациясын таңдау келесі факторлармен анықталады: композит беріктігінің талшықтар бағытына тәуелділігі; талшықтар иілгіштігі; арматура дайындауға жұмсалатын  экономикалық шығындар. Матрица материалы мен композиттің геометриялық құрылымын таңдау оны дайындау тәсілін таңдауды талап етеді. Жоғарыда полимерлі матрицалы композитті дайындау тәсілдері әлі «тұрақтанбаған». Қиындықтар талшықтарды металл балқымасымен сіңіру өтетін жоғары температуралармен байланысты. Жоғары температураларда талшықтар бетінде химиялық реакция өтеді. Егер химиялық реакция жұқа қабатта өтсе, бұл талшықтың матрицамен байланысын беріктейді, бірақ егер қабат қалың болса, онда реакция өнімдері байланысты әлсіретіп, бұзуы мүмкін.</w:t>
      </w:r>
    </w:p>
    <w:p w:rsidR="00297886" w:rsidRPr="00297886" w:rsidRDefault="00297886" w:rsidP="00297886">
      <w:pPr>
        <w:spacing w:after="0"/>
        <w:jc w:val="both"/>
        <w:rPr>
          <w:rFonts w:ascii="Times New Roman" w:hAnsi="Times New Roman" w:cs="Times New Roman"/>
          <w:b/>
          <w:sz w:val="28"/>
          <w:szCs w:val="28"/>
          <w:lang w:val="kk-KZ"/>
        </w:rPr>
      </w:pPr>
      <w:r w:rsidRPr="00297886">
        <w:rPr>
          <w:rFonts w:ascii="Times New Roman" w:hAnsi="Times New Roman" w:cs="Times New Roman"/>
          <w:b/>
          <w:sz w:val="28"/>
          <w:szCs w:val="28"/>
          <w:lang w:val="kk-KZ"/>
        </w:rPr>
        <w:t>Қорытынды</w:t>
      </w:r>
    </w:p>
    <w:p w:rsidR="00297886" w:rsidRDefault="00297886" w:rsidP="00297886">
      <w:pPr>
        <w:spacing w:after="0"/>
        <w:ind w:firstLine="708"/>
        <w:jc w:val="both"/>
        <w:rPr>
          <w:rFonts w:ascii="Times New Roman" w:hAnsi="Times New Roman" w:cs="Times New Roman"/>
          <w:sz w:val="28"/>
          <w:szCs w:val="28"/>
          <w:lang w:val="kk-KZ"/>
        </w:rPr>
      </w:pPr>
      <w:r w:rsidRPr="00297886">
        <w:rPr>
          <w:rFonts w:ascii="Times New Roman" w:hAnsi="Times New Roman" w:cs="Times New Roman"/>
          <w:sz w:val="28"/>
          <w:szCs w:val="28"/>
          <w:lang w:val="kk-KZ"/>
        </w:rPr>
        <w:t xml:space="preserve">Композициялық материалдар </w:t>
      </w:r>
      <w:r>
        <w:rPr>
          <w:rFonts w:ascii="Times New Roman" w:hAnsi="Times New Roman" w:cs="Times New Roman"/>
          <w:sz w:val="28"/>
          <w:szCs w:val="28"/>
          <w:lang w:val="kk-KZ"/>
        </w:rPr>
        <w:t>-</w:t>
      </w:r>
      <w:r w:rsidRPr="00297886">
        <w:rPr>
          <w:rFonts w:ascii="Times New Roman" w:hAnsi="Times New Roman" w:cs="Times New Roman"/>
          <w:sz w:val="28"/>
          <w:szCs w:val="28"/>
          <w:lang w:val="kk-KZ"/>
        </w:rPr>
        <w:t xml:space="preserve"> заманауи техника мен инженерияның болашағы. Олардың жеңілдігі, беріктігі және тозуға төзімділігі оларды авиация, көлік, құрылыс және энергети</w:t>
      </w:r>
      <w:r>
        <w:rPr>
          <w:rFonts w:ascii="Times New Roman" w:hAnsi="Times New Roman" w:cs="Times New Roman"/>
          <w:sz w:val="28"/>
          <w:szCs w:val="28"/>
          <w:lang w:val="kk-KZ"/>
        </w:rPr>
        <w:t xml:space="preserve">ка салаларында таптырмас етеді. </w:t>
      </w:r>
      <w:r w:rsidRPr="00297886">
        <w:rPr>
          <w:rFonts w:ascii="Times New Roman" w:hAnsi="Times New Roman" w:cs="Times New Roman"/>
          <w:sz w:val="28"/>
          <w:szCs w:val="28"/>
          <w:lang w:val="kk-KZ"/>
        </w:rPr>
        <w:t>Матри</w:t>
      </w:r>
      <w:bookmarkStart w:id="0" w:name="_GoBack"/>
      <w:bookmarkEnd w:id="0"/>
      <w:r w:rsidRPr="00297886">
        <w:rPr>
          <w:rFonts w:ascii="Times New Roman" w:hAnsi="Times New Roman" w:cs="Times New Roman"/>
          <w:sz w:val="28"/>
          <w:szCs w:val="28"/>
          <w:lang w:val="kk-KZ"/>
        </w:rPr>
        <w:t>ца мен талшық материалдарын дұрыс таңдау композициялық материалдың құрылымдық тұтастығын және ұзақ қызмет етуін қамтамасыз етеді.</w:t>
      </w:r>
    </w:p>
    <w:p w:rsidR="005E24F6" w:rsidRPr="003B7CE3" w:rsidRDefault="005E24F6" w:rsidP="003B7CE3">
      <w:pPr>
        <w:spacing w:before="100" w:beforeAutospacing="1" w:after="100" w:afterAutospacing="1"/>
        <w:jc w:val="both"/>
        <w:rPr>
          <w:rFonts w:ascii="Times New Roman" w:hAnsi="Times New Roman" w:cs="Times New Roman"/>
          <w:sz w:val="28"/>
          <w:szCs w:val="28"/>
          <w:lang w:val="kk-KZ"/>
        </w:rPr>
      </w:pPr>
      <w:r w:rsidRPr="001E54DA">
        <w:rPr>
          <w:rFonts w:ascii="Times New Roman" w:eastAsia="Times New Roman" w:hAnsi="Times New Roman" w:cs="Times New Roman"/>
          <w:b/>
          <w:bCs/>
          <w:sz w:val="28"/>
          <w:szCs w:val="28"/>
          <w:lang w:val="kk-KZ" w:eastAsia="ru-RU"/>
        </w:rPr>
        <w:t>Бақылау сұрақтары:</w:t>
      </w:r>
    </w:p>
    <w:p w:rsidR="001E54DA" w:rsidRPr="001E54DA" w:rsidRDefault="001E54DA" w:rsidP="001E54DA">
      <w:pPr>
        <w:pStyle w:val="a5"/>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1E54DA">
        <w:rPr>
          <w:rFonts w:ascii="Times New Roman" w:eastAsia="Times New Roman" w:hAnsi="Times New Roman" w:cs="Times New Roman"/>
          <w:sz w:val="28"/>
          <w:szCs w:val="28"/>
          <w:lang w:val="kk-KZ" w:eastAsia="ru-RU"/>
        </w:rPr>
        <w:t>Композит және армирлеу ұғымдарына анықтама беріңіз. Армирлеуші материалдың таралу сипатына қарай композиттер қалай жіктеледі?</w:t>
      </w:r>
    </w:p>
    <w:p w:rsidR="001E54DA" w:rsidRPr="001E54DA" w:rsidRDefault="001E54DA" w:rsidP="001E54DA">
      <w:pPr>
        <w:pStyle w:val="a5"/>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1E54DA">
        <w:rPr>
          <w:rFonts w:ascii="Times New Roman" w:eastAsia="Times New Roman" w:hAnsi="Times New Roman" w:cs="Times New Roman"/>
          <w:sz w:val="28"/>
          <w:szCs w:val="28"/>
          <w:lang w:val="kk-KZ" w:eastAsia="ru-RU"/>
        </w:rPr>
        <w:t>Композиттерде қолданылатын жоғары берікті элементтер мен олардың типтік қосылыстары (SiC, Si₃N₄, Al₂O₃ т.б.) қандай қасиеттермен ерекшеленеді және олардың басты кемшілігі неде?</w:t>
      </w:r>
    </w:p>
    <w:p w:rsidR="001E54DA" w:rsidRPr="001E54DA" w:rsidRDefault="001E54DA" w:rsidP="001E54DA">
      <w:pPr>
        <w:pStyle w:val="a5"/>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1E54DA">
        <w:rPr>
          <w:rFonts w:ascii="Times New Roman" w:eastAsia="Times New Roman" w:hAnsi="Times New Roman" w:cs="Times New Roman"/>
          <w:sz w:val="28"/>
          <w:szCs w:val="28"/>
          <w:lang w:val="kk-KZ" w:eastAsia="ru-RU"/>
        </w:rPr>
        <w:lastRenderedPageBreak/>
        <w:t>Матрица материалына қойылатын негізгі талаптар қандай және жұмыс температурасы бойынша қандай матрица түрлері қолданылады (полимерлік, металлдық, қышқылдық, көміртектік)?</w:t>
      </w:r>
    </w:p>
    <w:p w:rsidR="001E54DA" w:rsidRPr="001E54DA" w:rsidRDefault="001E54DA" w:rsidP="001E54DA">
      <w:pPr>
        <w:pStyle w:val="a5"/>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1E54DA">
        <w:rPr>
          <w:rFonts w:ascii="Times New Roman" w:eastAsia="Times New Roman" w:hAnsi="Times New Roman" w:cs="Times New Roman"/>
          <w:sz w:val="28"/>
          <w:szCs w:val="28"/>
          <w:lang w:val="kk-KZ" w:eastAsia="ru-RU"/>
        </w:rPr>
        <w:t>Талшық материалдарын таңдау кезінде ескерілетін негізгі төрт критерий қандай және олардың композит қасиеттеріне әсері неде?</w:t>
      </w:r>
    </w:p>
    <w:p w:rsidR="001E54DA" w:rsidRPr="001E54DA" w:rsidRDefault="001E54DA" w:rsidP="001E54DA">
      <w:pPr>
        <w:pStyle w:val="a5"/>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1E54DA">
        <w:rPr>
          <w:rFonts w:ascii="Times New Roman" w:eastAsia="Times New Roman" w:hAnsi="Times New Roman" w:cs="Times New Roman"/>
          <w:sz w:val="28"/>
          <w:szCs w:val="28"/>
          <w:lang w:val="kk-KZ" w:eastAsia="ru-RU"/>
        </w:rPr>
        <w:t>Композит құрылымының беріктігі мен сенімділігіне арматураның геометриялық конфигурациясы мен талшықтардың бағытталуы қалай әсер етеді?</w:t>
      </w:r>
    </w:p>
    <w:p w:rsidR="00C65124" w:rsidRPr="001E54DA" w:rsidRDefault="00C65124" w:rsidP="001E54DA">
      <w:pPr>
        <w:pStyle w:val="a5"/>
        <w:tabs>
          <w:tab w:val="left" w:pos="142"/>
        </w:tabs>
        <w:spacing w:after="0" w:line="240" w:lineRule="auto"/>
        <w:jc w:val="both"/>
        <w:rPr>
          <w:rFonts w:ascii="Times New Roman" w:hAnsi="Times New Roman" w:cs="Times New Roman"/>
          <w:b/>
          <w:bCs/>
          <w:sz w:val="28"/>
          <w:szCs w:val="28"/>
          <w:lang w:val="kk-KZ"/>
        </w:rPr>
      </w:pPr>
    </w:p>
    <w:p w:rsidR="002119D8" w:rsidRPr="001E54DA" w:rsidRDefault="003B7CE3" w:rsidP="00F1446A">
      <w:pPr>
        <w:tabs>
          <w:tab w:val="left" w:pos="142"/>
        </w:tabs>
        <w:spacing w:after="0" w:line="240" w:lineRule="auto"/>
        <w:jc w:val="both"/>
        <w:rPr>
          <w:rFonts w:ascii="Times New Roman" w:hAnsi="Times New Roman" w:cs="Times New Roman"/>
          <w:b/>
          <w:bCs/>
          <w:sz w:val="28"/>
          <w:szCs w:val="28"/>
          <w:lang w:val="kk-KZ"/>
        </w:rPr>
      </w:pPr>
      <w:r w:rsidRPr="003B7CE3">
        <w:rPr>
          <w:rFonts w:ascii="Times New Roman" w:hAnsi="Times New Roman" w:cs="Times New Roman"/>
          <w:b/>
          <w:bCs/>
          <w:sz w:val="28"/>
          <w:szCs w:val="28"/>
          <w:lang w:val="kk-KZ"/>
        </w:rPr>
        <w:t>Қолданылған әдебиеттер тізімі:</w:t>
      </w:r>
    </w:p>
    <w:p w:rsidR="00F1446A" w:rsidRPr="00F1446A" w:rsidRDefault="00F1446A" w:rsidP="00F1446A">
      <w:pPr>
        <w:pStyle w:val="a5"/>
        <w:numPr>
          <w:ilvl w:val="0"/>
          <w:numId w:val="7"/>
        </w:numPr>
        <w:tabs>
          <w:tab w:val="left" w:pos="142"/>
        </w:tabs>
        <w:spacing w:after="0" w:line="240" w:lineRule="auto"/>
        <w:jc w:val="both"/>
        <w:rPr>
          <w:rFonts w:ascii="Times New Roman" w:hAnsi="Times New Roman" w:cs="Times New Roman"/>
          <w:color w:val="000000"/>
          <w:sz w:val="28"/>
          <w:szCs w:val="28"/>
          <w:shd w:val="clear" w:color="auto" w:fill="FFFFFF"/>
          <w:lang w:val="kk-KZ"/>
        </w:rPr>
      </w:pPr>
      <w:r w:rsidRPr="00F1446A">
        <w:rPr>
          <w:rFonts w:ascii="Times New Roman" w:hAnsi="Times New Roman" w:cs="Times New Roman"/>
          <w:color w:val="000000"/>
          <w:sz w:val="28"/>
          <w:szCs w:val="28"/>
          <w:shd w:val="clear" w:color="auto" w:fill="FFFFFF"/>
          <w:lang w:val="kk-KZ"/>
        </w:rPr>
        <w:t xml:space="preserve">К.К. Құдайберген Қатты денелер химиясы: оқу құралы. - Алматы: Қазақ университеті, 2017. - 240 б. </w:t>
      </w:r>
    </w:p>
    <w:p w:rsidR="00F1446A" w:rsidRPr="00F1446A" w:rsidRDefault="00F1446A" w:rsidP="00F1446A">
      <w:pPr>
        <w:pStyle w:val="a5"/>
        <w:numPr>
          <w:ilvl w:val="0"/>
          <w:numId w:val="7"/>
        </w:numPr>
        <w:tabs>
          <w:tab w:val="left" w:pos="142"/>
        </w:tabs>
        <w:spacing w:after="0" w:line="240" w:lineRule="auto"/>
        <w:jc w:val="both"/>
        <w:rPr>
          <w:rFonts w:ascii="Times New Roman" w:hAnsi="Times New Roman" w:cs="Times New Roman"/>
          <w:sz w:val="28"/>
          <w:szCs w:val="28"/>
        </w:rPr>
      </w:pPr>
      <w:r w:rsidRPr="00F1446A">
        <w:rPr>
          <w:rFonts w:ascii="Times New Roman" w:hAnsi="Times New Roman" w:cs="Times New Roman"/>
          <w:color w:val="000000"/>
          <w:sz w:val="28"/>
          <w:szCs w:val="28"/>
          <w:shd w:val="clear" w:color="auto" w:fill="FFFFFF"/>
          <w:lang w:val="kk-KZ"/>
        </w:rPr>
        <w:t xml:space="preserve">Оңғарбаев Е.К., Турешова Г.О. Материалтану: оку құралы. - Алматы: Қазак университеті, 2017. - 262 б. </w:t>
      </w:r>
    </w:p>
    <w:p w:rsidR="00F1446A" w:rsidRPr="00F1446A" w:rsidRDefault="00F1446A" w:rsidP="00F1446A">
      <w:pPr>
        <w:pStyle w:val="a5"/>
        <w:numPr>
          <w:ilvl w:val="0"/>
          <w:numId w:val="7"/>
        </w:numPr>
        <w:tabs>
          <w:tab w:val="left" w:pos="142"/>
        </w:tabs>
        <w:spacing w:after="0" w:line="240" w:lineRule="auto"/>
        <w:jc w:val="both"/>
        <w:rPr>
          <w:rFonts w:ascii="Times New Roman" w:hAnsi="Times New Roman" w:cs="Times New Roman"/>
          <w:sz w:val="28"/>
          <w:szCs w:val="28"/>
        </w:rPr>
      </w:pPr>
      <w:r w:rsidRPr="00F1446A">
        <w:rPr>
          <w:rFonts w:ascii="Times New Roman" w:hAnsi="Times New Roman" w:cs="Times New Roman"/>
          <w:color w:val="000000"/>
          <w:sz w:val="28"/>
          <w:szCs w:val="28"/>
          <w:shd w:val="clear" w:color="auto" w:fill="FFFFFF"/>
        </w:rPr>
        <w:t xml:space="preserve">Черного О.Б. Химия твердого тела учеб. Пособие / О.Б. Чернова, А.В. Березовская; </w:t>
      </w:r>
      <w:proofErr w:type="spellStart"/>
      <w:r w:rsidRPr="00F1446A">
        <w:rPr>
          <w:rFonts w:ascii="Times New Roman" w:hAnsi="Times New Roman" w:cs="Times New Roman"/>
          <w:color w:val="000000"/>
          <w:sz w:val="28"/>
          <w:szCs w:val="28"/>
          <w:shd w:val="clear" w:color="auto" w:fill="FFFFFF"/>
        </w:rPr>
        <w:t>Владим</w:t>
      </w:r>
      <w:proofErr w:type="spellEnd"/>
      <w:r w:rsidRPr="00F1446A">
        <w:rPr>
          <w:rFonts w:ascii="Times New Roman" w:hAnsi="Times New Roman" w:cs="Times New Roman"/>
          <w:color w:val="000000"/>
          <w:sz w:val="28"/>
          <w:szCs w:val="28"/>
          <w:shd w:val="clear" w:color="auto" w:fill="FFFFFF"/>
        </w:rPr>
        <w:t xml:space="preserve">. Гос. Ун-т. </w:t>
      </w:r>
      <w:proofErr w:type="spellStart"/>
      <w:r w:rsidRPr="00F1446A">
        <w:rPr>
          <w:rFonts w:ascii="Times New Roman" w:hAnsi="Times New Roman" w:cs="Times New Roman"/>
          <w:color w:val="000000"/>
          <w:sz w:val="28"/>
          <w:szCs w:val="28"/>
          <w:shd w:val="clear" w:color="auto" w:fill="FFFFFF"/>
        </w:rPr>
        <w:t>им.А.Г</w:t>
      </w:r>
      <w:proofErr w:type="spellEnd"/>
      <w:r w:rsidRPr="00F1446A">
        <w:rPr>
          <w:rFonts w:ascii="Times New Roman" w:hAnsi="Times New Roman" w:cs="Times New Roman"/>
          <w:color w:val="000000"/>
          <w:sz w:val="28"/>
          <w:szCs w:val="28"/>
          <w:shd w:val="clear" w:color="auto" w:fill="FFFFFF"/>
        </w:rPr>
        <w:t>. и Н.Г.Г Столетовых. - Владимир: Изд-во. ВЛГУ, 2020</w:t>
      </w:r>
      <w:proofErr w:type="gramStart"/>
      <w:r w:rsidRPr="00F1446A">
        <w:rPr>
          <w:rFonts w:ascii="Times New Roman" w:hAnsi="Times New Roman" w:cs="Times New Roman"/>
          <w:color w:val="000000"/>
          <w:sz w:val="28"/>
          <w:szCs w:val="28"/>
          <w:shd w:val="clear" w:color="auto" w:fill="FFFFFF"/>
        </w:rPr>
        <w:t>. .</w:t>
      </w:r>
      <w:proofErr w:type="gramEnd"/>
      <w:r w:rsidRPr="00F1446A">
        <w:rPr>
          <w:rFonts w:ascii="Times New Roman" w:hAnsi="Times New Roman" w:cs="Times New Roman"/>
          <w:color w:val="000000"/>
          <w:sz w:val="28"/>
          <w:szCs w:val="28"/>
          <w:shd w:val="clear" w:color="auto" w:fill="FFFFFF"/>
        </w:rPr>
        <w:t xml:space="preserve"> </w:t>
      </w:r>
    </w:p>
    <w:p w:rsidR="00C65124" w:rsidRPr="00F1446A" w:rsidRDefault="00F1446A" w:rsidP="00F1446A">
      <w:pPr>
        <w:pStyle w:val="a5"/>
        <w:numPr>
          <w:ilvl w:val="0"/>
          <w:numId w:val="7"/>
        </w:numPr>
        <w:tabs>
          <w:tab w:val="left" w:pos="142"/>
        </w:tabs>
        <w:spacing w:after="0" w:line="240" w:lineRule="auto"/>
        <w:jc w:val="both"/>
        <w:rPr>
          <w:rFonts w:ascii="Times New Roman" w:hAnsi="Times New Roman" w:cs="Times New Roman"/>
          <w:sz w:val="28"/>
          <w:szCs w:val="28"/>
        </w:rPr>
      </w:pPr>
      <w:r w:rsidRPr="00F1446A">
        <w:rPr>
          <w:rFonts w:ascii="Times New Roman" w:hAnsi="Times New Roman" w:cs="Times New Roman"/>
          <w:color w:val="000000"/>
          <w:sz w:val="28"/>
          <w:szCs w:val="28"/>
          <w:shd w:val="clear" w:color="auto" w:fill="FFFFFF"/>
        </w:rPr>
        <w:t>Артамонова О.В. Химия твердого тела: учеб. пособие / 0.В. Артамонова; Воронежский ГАСУ. - Воронеж, 2015. - 168 с.</w:t>
      </w:r>
    </w:p>
    <w:p w:rsidR="00C65124" w:rsidRPr="001E54DA" w:rsidRDefault="00C65124" w:rsidP="00F1446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tabs>
          <w:tab w:val="left" w:pos="142"/>
        </w:tabs>
        <w:spacing w:after="0" w:line="240" w:lineRule="auto"/>
        <w:jc w:val="both"/>
        <w:rPr>
          <w:rFonts w:ascii="Times New Roman" w:hAnsi="Times New Roman" w:cs="Times New Roman"/>
          <w:sz w:val="28"/>
          <w:szCs w:val="28"/>
          <w:lang w:val="kk-KZ"/>
        </w:rPr>
      </w:pPr>
    </w:p>
    <w:p w:rsidR="00C65124" w:rsidRPr="001E54DA" w:rsidRDefault="00C65124" w:rsidP="001E54DA">
      <w:pPr>
        <w:spacing w:after="0" w:line="240" w:lineRule="auto"/>
        <w:ind w:firstLine="709"/>
        <w:jc w:val="both"/>
        <w:rPr>
          <w:rFonts w:ascii="Times New Roman" w:hAnsi="Times New Roman" w:cs="Times New Roman"/>
          <w:sz w:val="28"/>
          <w:szCs w:val="28"/>
          <w:lang w:val="kk-KZ"/>
        </w:rPr>
      </w:pPr>
    </w:p>
    <w:sectPr w:rsidR="00C65124" w:rsidRPr="001E5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524A0"/>
    <w:multiLevelType w:val="multilevel"/>
    <w:tmpl w:val="1C900A04"/>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04110"/>
    <w:multiLevelType w:val="hybridMultilevel"/>
    <w:tmpl w:val="574085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D967D4"/>
    <w:multiLevelType w:val="multilevel"/>
    <w:tmpl w:val="03F4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1173A"/>
    <w:multiLevelType w:val="hybridMultilevel"/>
    <w:tmpl w:val="494E8B2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4C54D9"/>
    <w:multiLevelType w:val="hybridMultilevel"/>
    <w:tmpl w:val="C1127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B00292"/>
    <w:multiLevelType w:val="multilevel"/>
    <w:tmpl w:val="81EC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552557"/>
    <w:multiLevelType w:val="multilevel"/>
    <w:tmpl w:val="1C900A04"/>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89"/>
    <w:rsid w:val="001951BB"/>
    <w:rsid w:val="001E54DA"/>
    <w:rsid w:val="002119D8"/>
    <w:rsid w:val="00297886"/>
    <w:rsid w:val="002C291C"/>
    <w:rsid w:val="002C6806"/>
    <w:rsid w:val="002E0689"/>
    <w:rsid w:val="003B7CE3"/>
    <w:rsid w:val="003E0256"/>
    <w:rsid w:val="003F394F"/>
    <w:rsid w:val="004E4E3C"/>
    <w:rsid w:val="00552DF8"/>
    <w:rsid w:val="005E24F6"/>
    <w:rsid w:val="006B2555"/>
    <w:rsid w:val="00C65124"/>
    <w:rsid w:val="00D6642E"/>
    <w:rsid w:val="00D76179"/>
    <w:rsid w:val="00F1446A"/>
    <w:rsid w:val="00F56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49D45-69D4-4FD0-8812-4DE117ED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E24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0689"/>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basedOn w:val="a0"/>
    <w:uiPriority w:val="22"/>
    <w:qFormat/>
    <w:rsid w:val="003E0256"/>
    <w:rPr>
      <w:b/>
      <w:bCs/>
    </w:rPr>
  </w:style>
  <w:style w:type="paragraph" w:styleId="a4">
    <w:name w:val="Normal (Web)"/>
    <w:basedOn w:val="a"/>
    <w:uiPriority w:val="99"/>
    <w:unhideWhenUsed/>
    <w:rsid w:val="004E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atex-mathml">
    <w:name w:val="katex-mathml"/>
    <w:basedOn w:val="a0"/>
    <w:rsid w:val="004E4E3C"/>
  </w:style>
  <w:style w:type="character" w:customStyle="1" w:styleId="mord">
    <w:name w:val="mord"/>
    <w:basedOn w:val="a0"/>
    <w:rsid w:val="004E4E3C"/>
  </w:style>
  <w:style w:type="character" w:customStyle="1" w:styleId="mrel">
    <w:name w:val="mrel"/>
    <w:basedOn w:val="a0"/>
    <w:rsid w:val="004E4E3C"/>
  </w:style>
  <w:style w:type="character" w:customStyle="1" w:styleId="vlist-s">
    <w:name w:val="vlist-s"/>
    <w:basedOn w:val="a0"/>
    <w:rsid w:val="004E4E3C"/>
  </w:style>
  <w:style w:type="character" w:customStyle="1" w:styleId="mbin">
    <w:name w:val="mbin"/>
    <w:basedOn w:val="a0"/>
    <w:rsid w:val="004E4E3C"/>
  </w:style>
  <w:style w:type="character" w:customStyle="1" w:styleId="mopen">
    <w:name w:val="mopen"/>
    <w:basedOn w:val="a0"/>
    <w:rsid w:val="004E4E3C"/>
  </w:style>
  <w:style w:type="character" w:customStyle="1" w:styleId="mclose">
    <w:name w:val="mclose"/>
    <w:basedOn w:val="a0"/>
    <w:rsid w:val="004E4E3C"/>
  </w:style>
  <w:style w:type="paragraph" w:styleId="a5">
    <w:name w:val="List Paragraph"/>
    <w:basedOn w:val="a"/>
    <w:uiPriority w:val="34"/>
    <w:qFormat/>
    <w:rsid w:val="00C65124"/>
    <w:pPr>
      <w:spacing w:line="278" w:lineRule="auto"/>
      <w:ind w:left="720"/>
      <w:contextualSpacing/>
    </w:pPr>
    <w:rPr>
      <w:rFonts w:eastAsiaTheme="minorEastAsia"/>
      <w:kern w:val="2"/>
      <w:sz w:val="24"/>
      <w:szCs w:val="24"/>
      <w:lang w:eastAsia="zh-CN"/>
      <w14:ligatures w14:val="standardContextual"/>
    </w:rPr>
  </w:style>
  <w:style w:type="character" w:customStyle="1" w:styleId="30">
    <w:name w:val="Заголовок 3 Знак"/>
    <w:basedOn w:val="a0"/>
    <w:link w:val="3"/>
    <w:uiPriority w:val="9"/>
    <w:rsid w:val="005E24F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6174">
      <w:bodyDiv w:val="1"/>
      <w:marLeft w:val="0"/>
      <w:marRight w:val="0"/>
      <w:marTop w:val="0"/>
      <w:marBottom w:val="0"/>
      <w:divBdr>
        <w:top w:val="none" w:sz="0" w:space="0" w:color="auto"/>
        <w:left w:val="none" w:sz="0" w:space="0" w:color="auto"/>
        <w:bottom w:val="none" w:sz="0" w:space="0" w:color="auto"/>
        <w:right w:val="none" w:sz="0" w:space="0" w:color="auto"/>
      </w:divBdr>
    </w:div>
    <w:div w:id="373191646">
      <w:bodyDiv w:val="1"/>
      <w:marLeft w:val="0"/>
      <w:marRight w:val="0"/>
      <w:marTop w:val="0"/>
      <w:marBottom w:val="0"/>
      <w:divBdr>
        <w:top w:val="none" w:sz="0" w:space="0" w:color="auto"/>
        <w:left w:val="none" w:sz="0" w:space="0" w:color="auto"/>
        <w:bottom w:val="none" w:sz="0" w:space="0" w:color="auto"/>
        <w:right w:val="none" w:sz="0" w:space="0" w:color="auto"/>
      </w:divBdr>
    </w:div>
    <w:div w:id="573320755">
      <w:bodyDiv w:val="1"/>
      <w:marLeft w:val="0"/>
      <w:marRight w:val="0"/>
      <w:marTop w:val="0"/>
      <w:marBottom w:val="0"/>
      <w:divBdr>
        <w:top w:val="none" w:sz="0" w:space="0" w:color="auto"/>
        <w:left w:val="none" w:sz="0" w:space="0" w:color="auto"/>
        <w:bottom w:val="none" w:sz="0" w:space="0" w:color="auto"/>
        <w:right w:val="none" w:sz="0" w:space="0" w:color="auto"/>
      </w:divBdr>
    </w:div>
    <w:div w:id="579406939">
      <w:bodyDiv w:val="1"/>
      <w:marLeft w:val="0"/>
      <w:marRight w:val="0"/>
      <w:marTop w:val="0"/>
      <w:marBottom w:val="0"/>
      <w:divBdr>
        <w:top w:val="none" w:sz="0" w:space="0" w:color="auto"/>
        <w:left w:val="none" w:sz="0" w:space="0" w:color="auto"/>
        <w:bottom w:val="none" w:sz="0" w:space="0" w:color="auto"/>
        <w:right w:val="none" w:sz="0" w:space="0" w:color="auto"/>
      </w:divBdr>
    </w:div>
    <w:div w:id="895942710">
      <w:bodyDiv w:val="1"/>
      <w:marLeft w:val="0"/>
      <w:marRight w:val="0"/>
      <w:marTop w:val="0"/>
      <w:marBottom w:val="0"/>
      <w:divBdr>
        <w:top w:val="none" w:sz="0" w:space="0" w:color="auto"/>
        <w:left w:val="none" w:sz="0" w:space="0" w:color="auto"/>
        <w:bottom w:val="none" w:sz="0" w:space="0" w:color="auto"/>
        <w:right w:val="none" w:sz="0" w:space="0" w:color="auto"/>
      </w:divBdr>
    </w:div>
    <w:div w:id="1031609693">
      <w:bodyDiv w:val="1"/>
      <w:marLeft w:val="0"/>
      <w:marRight w:val="0"/>
      <w:marTop w:val="0"/>
      <w:marBottom w:val="0"/>
      <w:divBdr>
        <w:top w:val="none" w:sz="0" w:space="0" w:color="auto"/>
        <w:left w:val="none" w:sz="0" w:space="0" w:color="auto"/>
        <w:bottom w:val="none" w:sz="0" w:space="0" w:color="auto"/>
        <w:right w:val="none" w:sz="0" w:space="0" w:color="auto"/>
      </w:divBdr>
    </w:div>
    <w:div w:id="1161582520">
      <w:bodyDiv w:val="1"/>
      <w:marLeft w:val="0"/>
      <w:marRight w:val="0"/>
      <w:marTop w:val="0"/>
      <w:marBottom w:val="0"/>
      <w:divBdr>
        <w:top w:val="none" w:sz="0" w:space="0" w:color="auto"/>
        <w:left w:val="none" w:sz="0" w:space="0" w:color="auto"/>
        <w:bottom w:val="none" w:sz="0" w:space="0" w:color="auto"/>
        <w:right w:val="none" w:sz="0" w:space="0" w:color="auto"/>
      </w:divBdr>
    </w:div>
    <w:div w:id="1456295645">
      <w:bodyDiv w:val="1"/>
      <w:marLeft w:val="0"/>
      <w:marRight w:val="0"/>
      <w:marTop w:val="0"/>
      <w:marBottom w:val="0"/>
      <w:divBdr>
        <w:top w:val="none" w:sz="0" w:space="0" w:color="auto"/>
        <w:left w:val="none" w:sz="0" w:space="0" w:color="auto"/>
        <w:bottom w:val="none" w:sz="0" w:space="0" w:color="auto"/>
        <w:right w:val="none" w:sz="0" w:space="0" w:color="auto"/>
      </w:divBdr>
    </w:div>
    <w:div w:id="1530219529">
      <w:bodyDiv w:val="1"/>
      <w:marLeft w:val="0"/>
      <w:marRight w:val="0"/>
      <w:marTop w:val="0"/>
      <w:marBottom w:val="0"/>
      <w:divBdr>
        <w:top w:val="none" w:sz="0" w:space="0" w:color="auto"/>
        <w:left w:val="none" w:sz="0" w:space="0" w:color="auto"/>
        <w:bottom w:val="none" w:sz="0" w:space="0" w:color="auto"/>
        <w:right w:val="none" w:sz="0" w:space="0" w:color="auto"/>
      </w:divBdr>
    </w:div>
    <w:div w:id="1540623190">
      <w:bodyDiv w:val="1"/>
      <w:marLeft w:val="0"/>
      <w:marRight w:val="0"/>
      <w:marTop w:val="0"/>
      <w:marBottom w:val="0"/>
      <w:divBdr>
        <w:top w:val="none" w:sz="0" w:space="0" w:color="auto"/>
        <w:left w:val="none" w:sz="0" w:space="0" w:color="auto"/>
        <w:bottom w:val="none" w:sz="0" w:space="0" w:color="auto"/>
        <w:right w:val="none" w:sz="0" w:space="0" w:color="auto"/>
      </w:divBdr>
    </w:div>
    <w:div w:id="1593779352">
      <w:bodyDiv w:val="1"/>
      <w:marLeft w:val="0"/>
      <w:marRight w:val="0"/>
      <w:marTop w:val="0"/>
      <w:marBottom w:val="0"/>
      <w:divBdr>
        <w:top w:val="none" w:sz="0" w:space="0" w:color="auto"/>
        <w:left w:val="none" w:sz="0" w:space="0" w:color="auto"/>
        <w:bottom w:val="none" w:sz="0" w:space="0" w:color="auto"/>
        <w:right w:val="none" w:sz="0" w:space="0" w:color="auto"/>
      </w:divBdr>
    </w:div>
    <w:div w:id="1613781520">
      <w:bodyDiv w:val="1"/>
      <w:marLeft w:val="0"/>
      <w:marRight w:val="0"/>
      <w:marTop w:val="0"/>
      <w:marBottom w:val="0"/>
      <w:divBdr>
        <w:top w:val="none" w:sz="0" w:space="0" w:color="auto"/>
        <w:left w:val="none" w:sz="0" w:space="0" w:color="auto"/>
        <w:bottom w:val="none" w:sz="0" w:space="0" w:color="auto"/>
        <w:right w:val="none" w:sz="0" w:space="0" w:color="auto"/>
      </w:divBdr>
    </w:div>
    <w:div w:id="1910069429">
      <w:bodyDiv w:val="1"/>
      <w:marLeft w:val="0"/>
      <w:marRight w:val="0"/>
      <w:marTop w:val="0"/>
      <w:marBottom w:val="0"/>
      <w:divBdr>
        <w:top w:val="none" w:sz="0" w:space="0" w:color="auto"/>
        <w:left w:val="none" w:sz="0" w:space="0" w:color="auto"/>
        <w:bottom w:val="none" w:sz="0" w:space="0" w:color="auto"/>
        <w:right w:val="none" w:sz="0" w:space="0" w:color="auto"/>
      </w:divBdr>
      <w:divsChild>
        <w:div w:id="368456814">
          <w:marLeft w:val="0"/>
          <w:marRight w:val="0"/>
          <w:marTop w:val="0"/>
          <w:marBottom w:val="0"/>
          <w:divBdr>
            <w:top w:val="none" w:sz="0" w:space="0" w:color="auto"/>
            <w:left w:val="none" w:sz="0" w:space="0" w:color="auto"/>
            <w:bottom w:val="none" w:sz="0" w:space="0" w:color="auto"/>
            <w:right w:val="none" w:sz="0" w:space="0" w:color="auto"/>
          </w:divBdr>
          <w:divsChild>
            <w:div w:id="167255216">
              <w:marLeft w:val="0"/>
              <w:marRight w:val="0"/>
              <w:marTop w:val="0"/>
              <w:marBottom w:val="0"/>
              <w:divBdr>
                <w:top w:val="none" w:sz="0" w:space="0" w:color="auto"/>
                <w:left w:val="none" w:sz="0" w:space="0" w:color="auto"/>
                <w:bottom w:val="none" w:sz="0" w:space="0" w:color="auto"/>
                <w:right w:val="none" w:sz="0" w:space="0" w:color="auto"/>
              </w:divBdr>
              <w:divsChild>
                <w:div w:id="1804931250">
                  <w:marLeft w:val="0"/>
                  <w:marRight w:val="0"/>
                  <w:marTop w:val="0"/>
                  <w:marBottom w:val="0"/>
                  <w:divBdr>
                    <w:top w:val="none" w:sz="0" w:space="0" w:color="auto"/>
                    <w:left w:val="none" w:sz="0" w:space="0" w:color="auto"/>
                    <w:bottom w:val="none" w:sz="0" w:space="0" w:color="auto"/>
                    <w:right w:val="none" w:sz="0" w:space="0" w:color="auto"/>
                  </w:divBdr>
                  <w:divsChild>
                    <w:div w:id="1524901907">
                      <w:marLeft w:val="0"/>
                      <w:marRight w:val="0"/>
                      <w:marTop w:val="0"/>
                      <w:marBottom w:val="0"/>
                      <w:divBdr>
                        <w:top w:val="none" w:sz="0" w:space="0" w:color="auto"/>
                        <w:left w:val="none" w:sz="0" w:space="0" w:color="auto"/>
                        <w:bottom w:val="none" w:sz="0" w:space="0" w:color="auto"/>
                        <w:right w:val="none" w:sz="0" w:space="0" w:color="auto"/>
                      </w:divBdr>
                      <w:divsChild>
                        <w:div w:id="843514485">
                          <w:marLeft w:val="0"/>
                          <w:marRight w:val="0"/>
                          <w:marTop w:val="0"/>
                          <w:marBottom w:val="0"/>
                          <w:divBdr>
                            <w:top w:val="none" w:sz="0" w:space="0" w:color="auto"/>
                            <w:left w:val="none" w:sz="0" w:space="0" w:color="auto"/>
                            <w:bottom w:val="none" w:sz="0" w:space="0" w:color="auto"/>
                            <w:right w:val="none" w:sz="0" w:space="0" w:color="auto"/>
                          </w:divBdr>
                          <w:divsChild>
                            <w:div w:id="19078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528529">
      <w:bodyDiv w:val="1"/>
      <w:marLeft w:val="0"/>
      <w:marRight w:val="0"/>
      <w:marTop w:val="0"/>
      <w:marBottom w:val="0"/>
      <w:divBdr>
        <w:top w:val="none" w:sz="0" w:space="0" w:color="auto"/>
        <w:left w:val="none" w:sz="0" w:space="0" w:color="auto"/>
        <w:bottom w:val="none" w:sz="0" w:space="0" w:color="auto"/>
        <w:right w:val="none" w:sz="0" w:space="0" w:color="auto"/>
      </w:divBdr>
    </w:div>
    <w:div w:id="20939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7</cp:revision>
  <dcterms:created xsi:type="dcterms:W3CDTF">2025-11-10T10:59:00Z</dcterms:created>
  <dcterms:modified xsi:type="dcterms:W3CDTF">2025-11-10T11:01:00Z</dcterms:modified>
</cp:coreProperties>
</file>